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E5" w:rsidRPr="00EA32E5" w:rsidRDefault="00EA32E5" w:rsidP="00EA32E5">
      <w:pPr>
        <w:jc w:val="right"/>
        <w:rPr>
          <w:rFonts w:ascii="Segoe UI" w:hAnsi="Segoe UI" w:cs="Segoe UI"/>
          <w:b/>
          <w:sz w:val="28"/>
        </w:rPr>
      </w:pPr>
      <w:r w:rsidRPr="00EA32E5">
        <w:rPr>
          <w:rFonts w:ascii="Segoe UI" w:hAnsi="Segoe UI" w:cs="Segoe UI"/>
          <w:b/>
          <w:sz w:val="28"/>
        </w:rPr>
        <w:t>ПРЕСС-РЕЛИЗ</w:t>
      </w:r>
    </w:p>
    <w:p w:rsidR="009C45FB" w:rsidRDefault="00EA32E5" w:rsidP="00EA32E5">
      <w:pPr>
        <w:jc w:val="center"/>
        <w:rPr>
          <w:rFonts w:ascii="Segoe UI" w:hAnsi="Segoe UI" w:cs="Segoe UI"/>
          <w:b/>
          <w:sz w:val="32"/>
        </w:rPr>
      </w:pPr>
      <w:r w:rsidRPr="00EA32E5">
        <w:rPr>
          <w:rFonts w:ascii="Segoe UI" w:hAnsi="Segoe UI" w:cs="Segoe UI"/>
          <w:b/>
          <w:sz w:val="32"/>
        </w:rPr>
        <w:t xml:space="preserve">Порядок </w:t>
      </w:r>
      <w:r>
        <w:rPr>
          <w:rFonts w:ascii="Segoe UI" w:hAnsi="Segoe UI" w:cs="Segoe UI"/>
          <w:b/>
          <w:sz w:val="32"/>
        </w:rPr>
        <w:t>оформления</w:t>
      </w:r>
      <w:r w:rsidRPr="00EA32E5">
        <w:rPr>
          <w:rFonts w:ascii="Segoe UI" w:hAnsi="Segoe UI" w:cs="Segoe UI"/>
          <w:b/>
          <w:sz w:val="32"/>
        </w:rPr>
        <w:t xml:space="preserve"> земельных участков под многоквартирными домами</w:t>
      </w:r>
    </w:p>
    <w:p w:rsidR="00406833" w:rsidRDefault="00406833" w:rsidP="00EA3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BD304B" wp14:editId="12F28FB4">
            <wp:simplePos x="0" y="0"/>
            <wp:positionH relativeFrom="column">
              <wp:posOffset>3810</wp:posOffset>
            </wp:positionH>
            <wp:positionV relativeFrom="paragraph">
              <wp:posOffset>161925</wp:posOffset>
            </wp:positionV>
            <wp:extent cx="2682240" cy="1198880"/>
            <wp:effectExtent l="0" t="0" r="3810" b="1270"/>
            <wp:wrapTight wrapText="bothSides">
              <wp:wrapPolygon edited="0">
                <wp:start x="0" y="0"/>
                <wp:lineTo x="0" y="21280"/>
                <wp:lineTo x="21477" y="21280"/>
                <wp:lineTo x="2147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</w:rPr>
        <w:t>Кадастровая палата по Краснодарскому краю напоминает собственникам объектов недвижимости о том, каких правил следует придерживаться при оформлении земельных участков под многоквартирными домами</w:t>
      </w:r>
      <w:r w:rsidR="00710849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</w:t>
      </w:r>
    </w:p>
    <w:p w:rsidR="00406833" w:rsidRDefault="00EA32E5" w:rsidP="004068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EA32E5">
        <w:rPr>
          <w:rFonts w:ascii="Segoe UI" w:hAnsi="Segoe UI" w:cs="Segoe UI"/>
          <w:sz w:val="24"/>
          <w:szCs w:val="24"/>
        </w:rPr>
        <w:t xml:space="preserve">В соответствии со ст. 36 Земельного Кодекса РФ в существующей застройке земельные участки, на которых находятся сооружения, входящие в состав общего имущества многоквартирного дома, жилые здания и иные строения, предоставляются в качестве общего имущества в общую долевую собственность домовладельцев в порядке и на условиях, которые установлены жилищным законодательством. </w:t>
      </w:r>
    </w:p>
    <w:p w:rsidR="00EA32E5" w:rsidRPr="00EA32E5" w:rsidRDefault="00EA32E5" w:rsidP="00EA3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A32E5">
        <w:rPr>
          <w:rFonts w:ascii="Segoe UI" w:hAnsi="Segoe UI" w:cs="Segoe UI"/>
          <w:sz w:val="24"/>
          <w:szCs w:val="24"/>
        </w:rPr>
        <w:t>Так, согласно ст.16 Жилищного Кодекса РФ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EA32E5" w:rsidRPr="00EA32E5" w:rsidRDefault="00EA32E5" w:rsidP="00EA32E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A32E5">
        <w:rPr>
          <w:rFonts w:ascii="Segoe UI" w:hAnsi="Segoe UI" w:cs="Segoe UI"/>
          <w:sz w:val="24"/>
          <w:szCs w:val="24"/>
        </w:rPr>
        <w:t>С момента формирования земельного участка и проведения его государственного кадастрового учета земельный участок, на котором расположены многоквартирный дом и иные входящие в состав такого дома объекты недвижимого имущества, переходит бесплатно в общую долевую собственность собственников помещений в многоквартирном доме.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Если систематизировать плюсы и минусы для собственников помещений в многоквартирных домах, то выглядеть это будет следующим образом.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Плюсы оформления земли под многоквартирными домами следующие.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Во-первых, это дополнительные гарантии. Другими словами, без согласия собственников невозможно использование земельного участка, как например, прокладка новых дорог, строительство, организация коммерческих и иных предприятий (мойки, автостоянки, гаражи и т.п.) на территории принадлежащей собственникам многоквартирного дома; без согласия собственника невозможно какое-либо отчуждение части земельного участка, равно как и невозможен снос (постройка) каких либо строений; без согласия собственника невозможно изъять земельный участок для муниципальных (государственных) нужд бесплатно.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Во-вторых, это дополнительная возможная прибыль. Собственники вправе сдавать часть земельного участка в аренду или предоставлять его для иного возмездного использования. Кроме того, наличие собственности на землю существенно увеличивает стоимость квадратного метра жилого или нежилого помещения.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В-третьих, это удобство использования. Собственники вправе совершать с земельным уча</w:t>
      </w:r>
      <w:r w:rsidR="00406833">
        <w:rPr>
          <w:rFonts w:ascii="Segoe UI" w:eastAsia="Times New Roman" w:hAnsi="Segoe UI" w:cs="Segoe UI"/>
          <w:sz w:val="24"/>
          <w:szCs w:val="24"/>
          <w:lang w:eastAsia="ru-RU"/>
        </w:rPr>
        <w:t xml:space="preserve">стком различные действия, непосредственно </w:t>
      </w: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 xml:space="preserve">направленные на его благоустройство, строительство дополнительных сооружений, детских площадок и иных строений, необходимых для обеспечения нормальной жизнедеятельности </w:t>
      </w: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многоквартирного дома. Но здесь необходимо знать и помнить, что любая территория в городе имеет свое назначение и на участке под многоквартирным домом ларек, торгующий алкогольной продукцией, например, построить никто не разрешит. Возможности использования придомовых территорий, конечно же, имеются, но несколько ограничены. Это обусловливается многими факторами: скученностью застройки жилых домов, градостроительными ограничениями и нормативно-техническими требованиями, равно как и другими факторами.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 xml:space="preserve">К минусам оформления земли под многоквартирным домом можно отнести фактор ответственности, т.е. собственники обязаны нести ответственность за содержание своего земельного участка. </w:t>
      </w:r>
      <w:proofErr w:type="gramStart"/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 xml:space="preserve">Следовательно, обязанность по содержанию, ремонту, уборке дорог, элементов благоустройства (газонов, площадок, зеленых зон, парковочных мест и т.п.) несет собственник, а, значит, к нему могут быть применены меры ответственности. </w:t>
      </w:r>
      <w:proofErr w:type="gramEnd"/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 качестве минуса также следует указать и увеличение стоимость квадратного метра помещений, поскольку это сужает для собственников круг покупателей и арендаторов, равно как и увеличение расходов на содержание общего имущества многоквартирного дома.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 любом случае, количество плюсов значительно перевешивает количество минусов. В данном вопросе главное - это понять, что формирование земельного участка – дело непростое, но зачастую нужное собственникам многоквартирного дома для его содержания и благоустройства.</w:t>
      </w:r>
    </w:p>
    <w:p w:rsidR="00EA32E5" w:rsidRPr="00BF4EED" w:rsidRDefault="00EA32E5" w:rsidP="00EA32E5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EA32E5" w:rsidRDefault="00EA32E5" w:rsidP="00EA32E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EA32E5" w:rsidRPr="00386FFE" w:rsidRDefault="00710849" w:rsidP="00EA32E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EA32E5" w:rsidRPr="00D108C1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p w:rsidR="00EA32E5" w:rsidRPr="00EA32E5" w:rsidRDefault="00EA32E5" w:rsidP="00EA32E5">
      <w:pPr>
        <w:rPr>
          <w:rFonts w:ascii="Segoe UI" w:hAnsi="Segoe UI" w:cs="Segoe UI"/>
          <w:sz w:val="28"/>
        </w:rPr>
      </w:pPr>
    </w:p>
    <w:sectPr w:rsidR="00EA32E5" w:rsidRPr="00EA32E5" w:rsidSect="00EA32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9"/>
    <w:rsid w:val="00094434"/>
    <w:rsid w:val="000F65D9"/>
    <w:rsid w:val="00361E39"/>
    <w:rsid w:val="00406833"/>
    <w:rsid w:val="00710849"/>
    <w:rsid w:val="00E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6</cp:revision>
  <dcterms:created xsi:type="dcterms:W3CDTF">2019-11-01T11:00:00Z</dcterms:created>
  <dcterms:modified xsi:type="dcterms:W3CDTF">2019-11-06T08:16:00Z</dcterms:modified>
</cp:coreProperties>
</file>